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bookmarkStart w:id="2" w:name="_GoBack"/>
      <w:r>
        <w:rPr>
          <w:rFonts w:hint="eastAsia" w:ascii="Times New Roman" w:hAnsi="Times New Roman" w:eastAsia="方正小标宋_GBK" w:cs="Times New Roman"/>
          <w:sz w:val="44"/>
          <w:szCs w:val="44"/>
        </w:rPr>
        <w:t>中国民主同盟河北省委员会</w:t>
      </w:r>
      <w:r>
        <w:rPr>
          <w:rFonts w:ascii="Times New Roman" w:hAnsi="Times New Roman" w:eastAsia="方正小标宋_GBK" w:cs="Times New Roman"/>
          <w:sz w:val="44"/>
          <w:szCs w:val="44"/>
        </w:rPr>
        <w:t>20</w:t>
      </w:r>
      <w:r>
        <w:rPr>
          <w:rFonts w:hint="eastAsia" w:ascii="Times New Roman" w:hAnsi="Times New Roman" w:eastAsia="方正小标宋_GBK"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bookmarkEnd w:id="2"/>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中华人民共和国</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w:t>
      </w:r>
      <w:r>
        <w:rPr>
          <w:rFonts w:hint="eastAsia" w:ascii="Times New Roman" w:hAnsi="Times New Roman" w:eastAsia="方正仿宋_GBK" w:cs="Times New Roman"/>
          <w:sz w:val="32"/>
          <w:szCs w:val="32"/>
        </w:rPr>
        <w:t>中国民主同盟河北省委员会</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spacing w:line="5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w:t>
      </w:r>
      <w:r>
        <w:rPr>
          <w:rFonts w:ascii="Times New Roman" w:eastAsia="方正仿宋_GBK"/>
          <w:sz w:val="32"/>
          <w:szCs w:val="32"/>
        </w:rPr>
        <w:t>贯彻盟中央组织建设工作的方针，对省盟组织建设工作中的情况和问题进行调查和研究，及时向盟省委反映情况并提出建议；负责有关换届、后备干部培养和干部培训、基层建设工作；负责统计报表、盟籍管理工作；负责指导各市盟及省直工委有关组织建设工作。</w:t>
      </w:r>
    </w:p>
    <w:p>
      <w:pPr>
        <w:spacing w:line="50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w:t>
      </w:r>
      <w:r>
        <w:rPr>
          <w:rFonts w:ascii="Times New Roman" w:eastAsia="方正仿宋_GBK"/>
          <w:sz w:val="32"/>
          <w:szCs w:val="32"/>
        </w:rPr>
        <w:t>宣传党的路线、方针、政策，宣传盟中央及盟省委的工作部署和先进人物；了解、掌握、研究盟员的思想动态，及时向盟省委反映情况并提出建议；负责组织机关学习；主办盟省委内部刊物；负责机关图书资料的保管；指导各市盟及省直工委有关宣传及思想建设方面的工作。负责参政议政的工作；联络、协调盟省委各专门委员会的工作；组织起草盟省委在省政协会上的发言、提案；组织盟内有关专家开展专题调研活动；负责与省政府对口单位的联系；指导各市盟及省直工委有关参政议政方面的工作。</w:t>
      </w:r>
    </w:p>
    <w:p>
      <w:pPr>
        <w:spacing w:line="500" w:lineRule="exact"/>
        <w:ind w:firstLine="640" w:firstLineChars="200"/>
        <w:jc w:val="left"/>
        <w:rPr>
          <w:rFonts w:ascii="Times New Roman" w:eastAsia="方正仿宋_GBK"/>
          <w:sz w:val="32"/>
          <w:szCs w:val="32"/>
        </w:rPr>
      </w:pPr>
      <w:r>
        <w:rPr>
          <w:rFonts w:hint="eastAsia" w:ascii="Times New Roman" w:hAnsi="Times New Roman" w:eastAsia="方正仿宋_GBK" w:cs="Times New Roman"/>
          <w:sz w:val="32"/>
          <w:szCs w:val="32"/>
        </w:rPr>
        <w:t>（三）</w:t>
      </w:r>
      <w:r>
        <w:rPr>
          <w:rFonts w:ascii="Times New Roman" w:eastAsia="方正仿宋_GBK"/>
          <w:sz w:val="32"/>
          <w:szCs w:val="32"/>
        </w:rPr>
        <w:t>负责就社会服务及扶贫方面的工作向盟省委提出建议；负责联络、组织全省盟员及盟所联系的知识分子开展经济、科技、教育、法律、医卫、文化等方面的咨询工作及办学讲学工作；主管盟省委的智力扶贫工作；参与经济领域的统战工作，加强对海外的经济联系，协助有关部门引进资金、人才、技术、设备；负责指导各市盟及省直工委有关社会服务和扶贫方面的工作。</w:t>
      </w:r>
    </w:p>
    <w:p>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12"/>
        <w:tblW w:w="9782" w:type="dxa"/>
        <w:jc w:val="center"/>
        <w:tblInd w:w="-5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84"/>
        <w:gridCol w:w="1590"/>
        <w:gridCol w:w="1545"/>
        <w:gridCol w:w="2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98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590"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54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66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984" w:type="dxa"/>
            <w:vMerge w:val="continue"/>
            <w:shd w:val="clear" w:color="auto" w:fill="auto"/>
            <w:vAlign w:val="center"/>
          </w:tcPr>
          <w:p>
            <w:pPr>
              <w:spacing w:line="300" w:lineRule="exact"/>
              <w:jc w:val="left"/>
              <w:outlineLvl w:val="0"/>
            </w:pPr>
          </w:p>
        </w:tc>
        <w:tc>
          <w:tcPr>
            <w:tcW w:w="1590" w:type="dxa"/>
            <w:vMerge w:val="continue"/>
            <w:shd w:val="clear" w:color="auto" w:fill="auto"/>
            <w:vAlign w:val="center"/>
          </w:tcPr>
          <w:p>
            <w:pPr>
              <w:spacing w:line="300" w:lineRule="exact"/>
              <w:jc w:val="left"/>
              <w:outlineLvl w:val="0"/>
            </w:pPr>
          </w:p>
        </w:tc>
        <w:tc>
          <w:tcPr>
            <w:tcW w:w="1545" w:type="dxa"/>
            <w:vMerge w:val="continue"/>
            <w:shd w:val="clear" w:color="auto" w:fill="auto"/>
            <w:vAlign w:val="center"/>
          </w:tcPr>
          <w:p>
            <w:pPr>
              <w:spacing w:line="300" w:lineRule="exact"/>
              <w:jc w:val="left"/>
              <w:outlineLvl w:val="0"/>
            </w:pPr>
          </w:p>
        </w:tc>
        <w:tc>
          <w:tcPr>
            <w:tcW w:w="2663" w:type="dxa"/>
            <w:vMerge w:val="continue"/>
            <w:shd w:val="clear" w:color="auto" w:fill="auto"/>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38" w:hRule="atLeast"/>
          <w:jc w:val="center"/>
        </w:trPr>
        <w:tc>
          <w:tcPr>
            <w:tcW w:w="3984"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中国民主同盟河北省委员会</w:t>
            </w:r>
          </w:p>
        </w:tc>
        <w:tc>
          <w:tcPr>
            <w:tcW w:w="1590"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行政</w:t>
            </w:r>
          </w:p>
        </w:tc>
        <w:tc>
          <w:tcPr>
            <w:tcW w:w="1545"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正厅（地）级</w:t>
            </w:r>
          </w:p>
        </w:tc>
        <w:tc>
          <w:tcPr>
            <w:tcW w:w="2663" w:type="dxa"/>
            <w:shd w:val="clear" w:color="auto" w:fill="auto"/>
            <w:vAlign w:val="center"/>
          </w:tcPr>
          <w:p>
            <w:pPr>
              <w:spacing w:line="300" w:lineRule="exact"/>
              <w:jc w:val="center"/>
              <w:rPr>
                <w:rFonts w:ascii="方正书宋_GBK" w:eastAsia="方正书宋_GBK"/>
              </w:rPr>
            </w:pPr>
            <w:r>
              <w:rPr>
                <w:rFonts w:hint="eastAsia" w:ascii="Times New Roman" w:hAnsi="Times New Roman" w:eastAsia="方正书宋_GBK" w:cs="Times New Roman"/>
                <w:szCs w:val="24"/>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w:t>
      </w:r>
      <w:r>
        <w:rPr>
          <w:rFonts w:hint="eastAsia" w:ascii="Times New Roman" w:hAnsi="Times New Roman" w:eastAsia="方正仿宋_GBK" w:cs="Times New Roman"/>
          <w:sz w:val="32"/>
          <w:szCs w:val="32"/>
        </w:rPr>
        <w:t>中国民主同盟河北省委员会</w:t>
      </w:r>
      <w:r>
        <w:rPr>
          <w:rFonts w:ascii="Times New Roman" w:hAnsi="Times New Roman" w:eastAsia="方正仿宋_GBK" w:cs="Times New Roman"/>
          <w:sz w:val="32"/>
          <w:szCs w:val="32"/>
        </w:rPr>
        <w:t>机关及所属事业单位的收支包含在部门预算中。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660.61</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660.61</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，其他来源收入（单位资金）0万元。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rPr>
        <w:t>中国民主同盟河北省委员会</w:t>
      </w:r>
      <w:r>
        <w:rPr>
          <w:rFonts w:ascii="Times New Roman" w:hAnsi="Times New Roman" w:eastAsia="方正仿宋_GBK" w:cs="Times New Roman"/>
          <w:sz w:val="32"/>
          <w:szCs w:val="32"/>
        </w:rPr>
        <w:t>年度部门预算中支出预算的总体情况。20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660.61</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595.32</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476.04万元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119.28万元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65.29</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参政议政及业务活动费、中央提前下达-民党派专项、主副委和盟员活动费</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2021年预算收支安排</w:t>
      </w:r>
      <w:r>
        <w:rPr>
          <w:rFonts w:hint="eastAsia" w:ascii="Times New Roman" w:hAnsi="Times New Roman" w:eastAsia="方正仿宋_GBK" w:cs="Times New Roman"/>
          <w:sz w:val="32"/>
          <w:szCs w:val="32"/>
        </w:rPr>
        <w:t>660.61</w:t>
      </w:r>
      <w:r>
        <w:rPr>
          <w:rFonts w:ascii="Times New Roman" w:hAnsi="Times New Roman" w:eastAsia="方正仿宋_GBK" w:cs="Times New Roman"/>
          <w:sz w:val="32"/>
          <w:szCs w:val="32"/>
        </w:rPr>
        <w:t>万元，较2020年预算</w:t>
      </w:r>
      <w:r>
        <w:rPr>
          <w:rFonts w:hint="eastAsia" w:ascii="Times New Roman" w:hAnsi="Times New Roman" w:eastAsia="方正仿宋_GBK" w:cs="Times New Roman"/>
          <w:sz w:val="32"/>
          <w:szCs w:val="32"/>
        </w:rPr>
        <w:t>增加39.4</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增加42.65</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w:t>
      </w:r>
      <w:r>
        <w:rPr>
          <w:rFonts w:ascii="Times New Roman" w:hAnsi="Times New Roman" w:eastAsia="方正仿宋_GBK" w:cs="Times New Roman"/>
          <w:sz w:val="32"/>
          <w:szCs w:val="32"/>
        </w:rPr>
        <w:t>人员经费支出；项目支出</w:t>
      </w:r>
      <w:r>
        <w:rPr>
          <w:rFonts w:hint="eastAsia" w:ascii="Times New Roman" w:hAnsi="Times New Roman" w:eastAsia="方正仿宋_GBK" w:cs="Times New Roman"/>
          <w:sz w:val="32"/>
          <w:szCs w:val="32"/>
        </w:rPr>
        <w:t>减少3.25</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减少参政议政及业务活动费支出</w:t>
      </w:r>
      <w:r>
        <w:rPr>
          <w:rFonts w:ascii="Times New Roman" w:hAnsi="Times New Roman" w:eastAsia="方正仿宋_GBK" w:cs="Times New Roman"/>
          <w:sz w:val="32"/>
          <w:szCs w:val="32"/>
        </w:rPr>
        <w:t>。</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2021年，我部门机关运行经费共计安排119.28万元，主要用于日常维修、办公用房水电费、办公用房取暖费、办公用房物业管理费等日常运行支出。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2021年，我</w:t>
      </w:r>
      <w:r>
        <w:rPr>
          <w:rFonts w:hint="eastAsia" w:ascii="Times New Roman" w:hAnsi="Times New Roman" w:eastAsia="方正仿宋_GBK" w:cs="Times New Roman"/>
          <w:sz w:val="32"/>
          <w:szCs w:val="32"/>
        </w:rPr>
        <w:t>部门</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16.27</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6.12</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6.12</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10.15</w:t>
      </w:r>
      <w:r>
        <w:rPr>
          <w:rFonts w:ascii="Times New Roman" w:hAnsi="Times New Roman" w:eastAsia="方正仿宋_GBK" w:cs="Times New Roman"/>
          <w:sz w:val="32"/>
          <w:szCs w:val="32"/>
        </w:rPr>
        <w:t>万元。与2020年</w:t>
      </w:r>
      <w:r>
        <w:rPr>
          <w:rFonts w:hint="eastAsia" w:ascii="Times New Roman" w:hAnsi="Times New Roman" w:eastAsia="方正仿宋_GBK" w:cs="Times New Roman"/>
          <w:sz w:val="32"/>
          <w:szCs w:val="32"/>
        </w:rPr>
        <w:t>相比持平</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无增减变化</w:t>
      </w:r>
      <w:r>
        <w:rPr>
          <w:rFonts w:ascii="Times New Roman" w:hAnsi="Times New Roman" w:eastAsia="方正仿宋_GBK"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0"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rPr>
        <w:t>第一部分 部门整体</w:t>
      </w:r>
      <w:r>
        <w:rPr>
          <w:rFonts w:ascii="Times New Roman" w:hAnsi="Times New Roman" w:eastAsia="方正仿宋_GBK" w:cs="Times New Roman"/>
          <w:b/>
          <w:sz w:val="32"/>
          <w:szCs w:val="32"/>
        </w:rPr>
        <w:t>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（一）总体绩效目标</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在习近平新时代中国特色社会主义思想指引下，深入学习贯彻十九届五中全会精神，多措并举，全方位加强思想宣传工作，巩固思想政治基础。整合资源，完善机制，发挥自身优势，充分利用高层协商平台和政协平台，紧紧围绕国家重大战略、河北省“十四五”规划的实施等社会重点问题积极建言资政，为我省经济社会高质量发展贡献力量。联络组织盟员及民盟联系的知识分子开展经济、科技、教育、法律、医卫、文化等多方面的社会服务活动，打造社会服务品牌，助力我省乡村振兴战略实施。加强组织和干部队伍建设，进一步增强组织发展的计划性和针对性，把德才兼备、代表性强、议政水平高、群众认可的优秀人才吸收进来，确保民盟事业薪火相传，后继有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（二）分项绩效目标</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1、思想建设</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宣传党的路线、方针、政策及民盟中央和民盟省委的工作部署，了解、掌握、研究盟员的思想动态。发挥宣传教育阵地作用，增强广大盟员对中国特色社会主义的道路自信、理论自信、制度自信、文化自信。</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绩效指标：出版刊物《河北盟讯》期数不少于4期，《河北盟讯》覆盖11个地级市组织，盟员对《河北盟讯》满意率不低于90%。</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2、参政议政</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绩效目标：围绕省委省政府中心工作，深入调研，积极建言献策，向省政协会议提交大会发言、提案，承担民盟中央和省委统战部调研课题，联系省政府对口单位。</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提案提交不少于20篇，调研报告完成数量不少于7篇，提案采用率不低于60%，调研报告受到省级及以上领导批示不少于1篇，相关政府部门对调研、提案进行答复和回访不少于2篇，调研、提案工作盟员满意率不低于90%。</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3、社会服务</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绩效目标：积极开展社会服务活动，助力我省乡村振兴战略实施，继续开展定点帮扶工作，开展“黄丝带”监狱帮教行动，在巩固社会服务现有品牌的基础上打造新品牌。</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绩效指标：开展社会服务活动不少于5次，服务群众不低于1000人次，社会服务活动群众满意率不低于90%。</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4、组织建设</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绩效目标：贯彻“人才强盟”战略，发展盟员，加强基层组织建设，优化人才结构，通过举办学习班、研讨班、报告会等，提高盟员的思想政治素质，调动基层组织和广大盟员的积极性，增强组织凝聚力。</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绩效指标：省直支部活动不低于30次，新盟员培训率不低于90%，培训满意率不低于90%。</w:t>
      </w:r>
    </w:p>
    <w:p>
      <w:pPr>
        <w:numPr>
          <w:ilvl w:val="0"/>
          <w:numId w:val="1"/>
        </w:numPr>
        <w:ind w:firstLine="645"/>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工作保障措施</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1、加强领导，落实责任。加强对预算绩效管理的组织领导，在民盟河北省委主委会的领导下，以专职副主委为工作任务具体负责人，各部门负责人为工作任务第一责任人。</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完善制度建设。依据《中共中央国务院关于全面实施预算绩效管理的意见》、《中共河北省委河北省人民政府关于全面实施预算绩效管理的实施意见》，建立单位预算绩效管理制度，制定单位整体、项目绩效工作规程，进一步完善单位的专项资金使用管理制度，为全年预算绩效目标的实现奠定制度基础。</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3、明确任务分工，强化工作机制。2021年工作任务按职责分配至各部门，各部门按月划分完成进度，月末各部门汇报工作完成情况。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4、加强监督机制。对绩效目标实现程度和预算执行进度实行“双监控”，发现问题及时纠正，采取有效措施切实加快支出进度，确保绩效目标如期保质保量实现。</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5、做好绩效自评。年度预算执行终了，对照年初设定的绩效目标，按要求开展上年度部门预算绩效自评和重点评价工作，对评价中发现的问题及时整改，调整优化支出结构，提高财政资金使用效益。</w:t>
      </w:r>
    </w:p>
    <w:p>
      <w:pPr>
        <w:numPr>
          <w:ilvl w:val="0"/>
          <w:numId w:val="2"/>
        </w:numPr>
        <w:ind w:firstLine="56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 xml:space="preserve"> 预算项目绩效目标：</w:t>
      </w:r>
    </w:p>
    <w:p>
      <w:pPr>
        <w:numPr>
          <w:ilvl w:val="0"/>
          <w:numId w:val="3"/>
        </w:numPr>
        <w:ind w:firstLine="56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中央提前下达-民党派专项绩效目标表</w:t>
      </w:r>
    </w:p>
    <w:p>
      <w:pPr>
        <w:rPr>
          <w:rFonts w:ascii="Times New Roman" w:hAnsi="Times New Roman" w:eastAsia="方正仿宋_GBK" w:cs="Times New Roman"/>
          <w:b/>
          <w:sz w:val="32"/>
          <w:szCs w:val="32"/>
        </w:rPr>
      </w:pP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w:t>
            </w:r>
            <w:r>
              <w:rPr>
                <w:rFonts w:hint="cs" w:ascii="方正书宋_GBK" w:eastAsia="方正书宋_GBK"/>
              </w:rPr>
              <w:t>“</w:t>
            </w:r>
            <w:r>
              <w:rPr>
                <w:rFonts w:hint="eastAsia" w:ascii="方正书宋_GBK" w:eastAsia="方正书宋_GBK"/>
              </w:rPr>
              <w:t>黄丝带</w:t>
            </w:r>
            <w:r>
              <w:rPr>
                <w:rFonts w:hint="cs" w:ascii="方正书宋_GBK" w:eastAsia="方正书宋_GBK"/>
              </w:rPr>
              <w:t>”</w:t>
            </w:r>
            <w:r>
              <w:rPr>
                <w:rFonts w:hint="eastAsia" w:ascii="方正书宋_GBK" w:eastAsia="方正书宋_GBK"/>
              </w:rPr>
              <w:t>帮教、</w:t>
            </w:r>
            <w:r>
              <w:rPr>
                <w:rFonts w:hint="cs" w:ascii="方正书宋_GBK" w:eastAsia="方正书宋_GBK"/>
              </w:rPr>
              <w:t>“</w:t>
            </w:r>
            <w:r>
              <w:rPr>
                <w:rFonts w:hint="eastAsia" w:ascii="方正书宋_GBK" w:eastAsia="方正书宋_GBK"/>
              </w:rPr>
              <w:t>烛光行动</w:t>
            </w:r>
            <w:r>
              <w:rPr>
                <w:rFonts w:hint="cs" w:ascii="方正书宋_GBK" w:eastAsia="方正书宋_GBK"/>
              </w:rPr>
              <w:t>”</w:t>
            </w:r>
            <w:r>
              <w:rPr>
                <w:rFonts w:hint="eastAsia" w:ascii="方正书宋_GBK" w:eastAsia="方正书宋_GBK"/>
              </w:rPr>
              <w:t>等社会服务工作，促进我省乡村振兴战略实施。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通过开展《河北盟训》发行工作，达到发挥好民盟省委宣传阵地的效果。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12"/>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出版期数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出版《河北盟讯》期数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每年开展社会活动次数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活动服务人数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每年社会服务活动服务群众人数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《河北盟讯》覆盖面</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《河北盟讯》在</w:t>
            </w:r>
            <w:r>
              <w:rPr>
                <w:rFonts w:ascii="方正书宋_GBK" w:eastAsia="方正书宋_GBK"/>
              </w:rPr>
              <w:t>11</w:t>
            </w:r>
            <w:r>
              <w:rPr>
                <w:rFonts w:hint="eastAsia" w:ascii="方正书宋_GBK" w:eastAsia="方正书宋_GBK"/>
              </w:rPr>
              <w:t>个市级组织覆盖面</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个市级组织全覆盖</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《河北盟讯》完成时间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全年《河北盟讯》印刷发行时间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r>
              <w:rPr>
                <w:rFonts w:hint="eastAsia" w:ascii="方正书宋_GBK" w:eastAsia="方正书宋_GBK"/>
              </w:rPr>
              <w:t>月前完成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社会服务季度活动次数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每季度社会服务活动次数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次</w:t>
            </w:r>
            <w:r>
              <w:rPr>
                <w:rFonts w:ascii="方正书宋_GBK" w:eastAsia="方正书宋_GBK"/>
              </w:rPr>
              <w:t>/</w:t>
            </w:r>
            <w:r>
              <w:rPr>
                <w:rFonts w:hint="eastAsia" w:ascii="方正书宋_GBK" w:eastAsia="方正书宋_GBK"/>
              </w:rPr>
              <w:t>季度</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期刊印刷符合市场均价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在预算范围内并在市场合理报价范围内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符合差旅、会议费管理相关规定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反映各项活动是否在预算和相关财政规定范围内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政治立场坚定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广大盟员坚决拥护中国共产党领导，</w:t>
            </w:r>
            <w:r>
              <w:rPr>
                <w:rFonts w:hint="cs" w:ascii="方正书宋_GBK" w:eastAsia="方正书宋_GBK"/>
              </w:rPr>
              <w:t>“</w:t>
            </w:r>
            <w:r>
              <w:rPr>
                <w:rFonts w:hint="eastAsia" w:ascii="方正书宋_GBK" w:eastAsia="方正书宋_GBK"/>
              </w:rPr>
              <w:t>不忘合作初心，继续携手前进</w:t>
            </w:r>
            <w:r>
              <w:rPr>
                <w:rFonts w:hint="cs" w:ascii="方正书宋_GBK" w:eastAsia="方正书宋_GBK"/>
              </w:rPr>
              <w:t>”</w:t>
            </w:r>
            <w:r>
              <w:rPr>
                <w:rFonts w:hint="eastAsia" w:ascii="方正书宋_GBK" w:eastAsia="方正书宋_GBK"/>
              </w:rPr>
              <w:t>。</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打造社会服务品牌</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打造</w:t>
            </w:r>
            <w:r>
              <w:rPr>
                <w:rFonts w:hint="cs" w:ascii="方正书宋_GBK" w:eastAsia="方正书宋_GBK"/>
              </w:rPr>
              <w:t>“</w:t>
            </w:r>
            <w:r>
              <w:rPr>
                <w:rFonts w:hint="eastAsia" w:ascii="方正书宋_GBK" w:eastAsia="方正书宋_GBK"/>
              </w:rPr>
              <w:t>黄丝带</w:t>
            </w:r>
            <w:r>
              <w:rPr>
                <w:rFonts w:hint="cs" w:ascii="方正书宋_GBK" w:eastAsia="方正书宋_GBK"/>
              </w:rPr>
              <w:t>”</w:t>
            </w:r>
            <w:r>
              <w:rPr>
                <w:rFonts w:hint="eastAsia" w:ascii="方正书宋_GBK" w:eastAsia="方正书宋_GBK"/>
              </w:rPr>
              <w:t>帮教、</w:t>
            </w:r>
            <w:r>
              <w:rPr>
                <w:rFonts w:hint="cs" w:ascii="方正书宋_GBK" w:eastAsia="方正书宋_GBK"/>
              </w:rPr>
              <w:t>“</w:t>
            </w:r>
            <w:r>
              <w:rPr>
                <w:rFonts w:hint="eastAsia" w:ascii="方正书宋_GBK" w:eastAsia="方正书宋_GBK"/>
              </w:rPr>
              <w:t>烛光行动</w:t>
            </w:r>
            <w:r>
              <w:rPr>
                <w:rFonts w:hint="cs" w:ascii="方正书宋_GBK" w:eastAsia="方正书宋_GBK"/>
              </w:rPr>
              <w:t>”</w:t>
            </w:r>
            <w:r>
              <w:rPr>
                <w:rFonts w:hint="eastAsia" w:ascii="方正书宋_GBK" w:eastAsia="方正书宋_GBK"/>
              </w:rPr>
              <w:t>社会服务品牌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宣传工作盟员满意度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盟员对《河北盟讯》满意度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反映社会服务活动群众满意率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rPr>
          <w:rFonts w:ascii="Times New Roman" w:hAnsi="Times New Roman" w:eastAsia="方正仿宋_GBK" w:cs="Times New Roman"/>
          <w:sz w:val="32"/>
          <w:szCs w:val="32"/>
        </w:rPr>
      </w:pPr>
    </w:p>
    <w:bookmarkEnd w:id="0"/>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Times New Roman" w:hAnsi="Times New Roman" w:eastAsia="方正仿宋_GBK" w:cs="Times New Roman"/>
          <w:sz w:val="32"/>
          <w:szCs w:val="24"/>
        </w:rPr>
      </w:pPr>
      <w:bookmarkStart w:id="1" w:name="_Toc471398468"/>
      <w:r>
        <w:rPr>
          <w:rFonts w:ascii="Times New Roman" w:hAnsi="Times New Roman" w:eastAsia="方正仿宋_GBK" w:cs="Times New Roman"/>
          <w:sz w:val="32"/>
          <w:szCs w:val="24"/>
        </w:rPr>
        <w:t>2021年，我</w:t>
      </w:r>
      <w:r>
        <w:rPr>
          <w:rFonts w:hint="eastAsia" w:ascii="Times New Roman" w:hAnsi="Times New Roman" w:eastAsia="方正仿宋_GBK" w:cs="Times New Roman"/>
          <w:sz w:val="32"/>
          <w:szCs w:val="24"/>
        </w:rPr>
        <w:t>部门</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6.95</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12"/>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部门编码   754中国民主同盟河北省委员会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中国民主同盟河北省委员会本级小计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6.95</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6</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A060205</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0.25</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A090101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0.02</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0.50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车辆维修和保养服务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1.20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机动车保险服务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C15040201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119.28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车辆加油服务</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C050302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25</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0.04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1.00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中国民主同盟河北省委员会（含所属单位）上年末固定资产金额为</w:t>
      </w:r>
      <w:r>
        <w:rPr>
          <w:rFonts w:hint="eastAsia" w:ascii="Times New Roman" w:hAnsi="Times New Roman" w:eastAsia="方正仿宋_GBK" w:cs="Times New Roman"/>
          <w:sz w:val="32"/>
          <w:szCs w:val="32"/>
        </w:rPr>
        <w:t>126.06</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总额为3.55万元，</w:t>
      </w:r>
      <w:r>
        <w:rPr>
          <w:rFonts w:hint="eastAsia" w:ascii="仿宋_GB2312" w:hAnsi="黑体" w:eastAsia="仿宋_GB2312" w:cs="Times New Roman"/>
          <w:sz w:val="32"/>
          <w:szCs w:val="32"/>
        </w:rPr>
        <w:t>主要为计算机设备、打印设备、空调、办公家具等，已列入政府采购预算，详见政府采购预算表。</w:t>
      </w:r>
    </w:p>
    <w:tbl>
      <w:tblPr>
        <w:tblStyle w:val="12"/>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hint="eastAsia" w:ascii="宋体" w:hAnsi="宋体" w:eastAsia="宋体" w:cs="宋体"/>
                <w:b/>
                <w:bCs/>
                <w:kern w:val="0"/>
                <w:sz w:val="32"/>
                <w:szCs w:val="32"/>
              </w:rPr>
            </w:pPr>
          </w:p>
          <w:p>
            <w:pPr>
              <w:widowControl/>
              <w:jc w:val="center"/>
              <w:rPr>
                <w:rFonts w:hint="eastAsia"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河北省省直部门固定资产占用情况表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编制部门：中国民主同盟河北省委员会</w:t>
            </w:r>
          </w:p>
        </w:tc>
        <w:tc>
          <w:tcPr>
            <w:tcW w:w="5103" w:type="dxa"/>
            <w:tcBorders>
              <w:top w:val="nil"/>
              <w:left w:val="nil"/>
              <w:bottom w:val="nil"/>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126.06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40.06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248</w:t>
            </w:r>
          </w:p>
        </w:tc>
        <w:tc>
          <w:tcPr>
            <w:tcW w:w="5103" w:type="dxa"/>
            <w:tcBorders>
              <w:top w:val="nil"/>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2"/>
              </w:rPr>
            </w:pPr>
            <w:r>
              <w:rPr>
                <w:rFonts w:hint="eastAsia" w:ascii="Times New Roman" w:hAnsi="Times New Roman" w:cs="Times New Roman"/>
                <w:sz w:val="22"/>
              </w:rPr>
              <w:t>86</w:t>
            </w:r>
          </w:p>
        </w:tc>
      </w:tr>
    </w:tbl>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FD236"/>
    <w:multiLevelType w:val="singleLevel"/>
    <w:tmpl w:val="BD6FD236"/>
    <w:lvl w:ilvl="0" w:tentative="0">
      <w:start w:val="1"/>
      <w:numFmt w:val="decimal"/>
      <w:suff w:val="nothing"/>
      <w:lvlText w:val="%1、"/>
      <w:lvlJc w:val="left"/>
    </w:lvl>
  </w:abstractNum>
  <w:abstractNum w:abstractNumId="1">
    <w:nsid w:val="EDA6FB79"/>
    <w:multiLevelType w:val="singleLevel"/>
    <w:tmpl w:val="EDA6FB79"/>
    <w:lvl w:ilvl="0" w:tentative="0">
      <w:start w:val="3"/>
      <w:numFmt w:val="chineseCounting"/>
      <w:suff w:val="nothing"/>
      <w:lvlText w:val="（%1）"/>
      <w:lvlJc w:val="left"/>
      <w:rPr>
        <w:rFonts w:hint="eastAsia"/>
      </w:rPr>
    </w:lvl>
  </w:abstractNum>
  <w:abstractNum w:abstractNumId="2">
    <w:nsid w:val="5F1EE571"/>
    <w:multiLevelType w:val="singleLevel"/>
    <w:tmpl w:val="5F1EE571"/>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34786"/>
    <w:rsid w:val="00037AF6"/>
    <w:rsid w:val="000405D0"/>
    <w:rsid w:val="0004257D"/>
    <w:rsid w:val="00042F57"/>
    <w:rsid w:val="0006483E"/>
    <w:rsid w:val="00075D5F"/>
    <w:rsid w:val="0008102F"/>
    <w:rsid w:val="00087AAF"/>
    <w:rsid w:val="000B529B"/>
    <w:rsid w:val="000C3A19"/>
    <w:rsid w:val="000E617A"/>
    <w:rsid w:val="00104D5C"/>
    <w:rsid w:val="001245BB"/>
    <w:rsid w:val="001251A3"/>
    <w:rsid w:val="00146AA7"/>
    <w:rsid w:val="0018714B"/>
    <w:rsid w:val="0019071F"/>
    <w:rsid w:val="001B4EF3"/>
    <w:rsid w:val="001B5B76"/>
    <w:rsid w:val="001F7873"/>
    <w:rsid w:val="00201B2D"/>
    <w:rsid w:val="00241FD4"/>
    <w:rsid w:val="00251B12"/>
    <w:rsid w:val="00296113"/>
    <w:rsid w:val="002A673A"/>
    <w:rsid w:val="002C07BE"/>
    <w:rsid w:val="002C5E13"/>
    <w:rsid w:val="002C62BC"/>
    <w:rsid w:val="002C7DF9"/>
    <w:rsid w:val="002E0EB8"/>
    <w:rsid w:val="002F126F"/>
    <w:rsid w:val="002F3E58"/>
    <w:rsid w:val="0030542C"/>
    <w:rsid w:val="00311B7A"/>
    <w:rsid w:val="00372FA3"/>
    <w:rsid w:val="003D24CB"/>
    <w:rsid w:val="003D2C83"/>
    <w:rsid w:val="003D417F"/>
    <w:rsid w:val="003E6F47"/>
    <w:rsid w:val="003F4224"/>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0057"/>
    <w:rsid w:val="004D5788"/>
    <w:rsid w:val="004E3066"/>
    <w:rsid w:val="004E74CD"/>
    <w:rsid w:val="005069C1"/>
    <w:rsid w:val="00516E04"/>
    <w:rsid w:val="00565588"/>
    <w:rsid w:val="00572067"/>
    <w:rsid w:val="00573562"/>
    <w:rsid w:val="00590ECE"/>
    <w:rsid w:val="005915C2"/>
    <w:rsid w:val="00592ADD"/>
    <w:rsid w:val="005A2F44"/>
    <w:rsid w:val="00602878"/>
    <w:rsid w:val="00614A29"/>
    <w:rsid w:val="0061668A"/>
    <w:rsid w:val="00643AA7"/>
    <w:rsid w:val="00653C6B"/>
    <w:rsid w:val="0066346C"/>
    <w:rsid w:val="00673D76"/>
    <w:rsid w:val="00674CD7"/>
    <w:rsid w:val="006854F0"/>
    <w:rsid w:val="0069624B"/>
    <w:rsid w:val="006B1C4A"/>
    <w:rsid w:val="006B610D"/>
    <w:rsid w:val="006D2233"/>
    <w:rsid w:val="006D5C8A"/>
    <w:rsid w:val="006E49F5"/>
    <w:rsid w:val="006E7E97"/>
    <w:rsid w:val="007013C8"/>
    <w:rsid w:val="00717B1E"/>
    <w:rsid w:val="00753836"/>
    <w:rsid w:val="0075393C"/>
    <w:rsid w:val="00754592"/>
    <w:rsid w:val="0077207E"/>
    <w:rsid w:val="00776C08"/>
    <w:rsid w:val="00786726"/>
    <w:rsid w:val="007C180B"/>
    <w:rsid w:val="007C219A"/>
    <w:rsid w:val="007C4F9B"/>
    <w:rsid w:val="007E1DA8"/>
    <w:rsid w:val="007F6C26"/>
    <w:rsid w:val="00813208"/>
    <w:rsid w:val="008334AE"/>
    <w:rsid w:val="00836FED"/>
    <w:rsid w:val="0083724E"/>
    <w:rsid w:val="00845CD2"/>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02FED"/>
    <w:rsid w:val="00A44E3D"/>
    <w:rsid w:val="00A62942"/>
    <w:rsid w:val="00A72D2E"/>
    <w:rsid w:val="00A74447"/>
    <w:rsid w:val="00A74CE5"/>
    <w:rsid w:val="00A870D2"/>
    <w:rsid w:val="00A911E7"/>
    <w:rsid w:val="00A939D9"/>
    <w:rsid w:val="00B07D9E"/>
    <w:rsid w:val="00B20712"/>
    <w:rsid w:val="00B43238"/>
    <w:rsid w:val="00B45DD3"/>
    <w:rsid w:val="00B52632"/>
    <w:rsid w:val="00B727A9"/>
    <w:rsid w:val="00B75216"/>
    <w:rsid w:val="00B91D52"/>
    <w:rsid w:val="00B9490F"/>
    <w:rsid w:val="00BA1ACD"/>
    <w:rsid w:val="00BA534E"/>
    <w:rsid w:val="00BD09F8"/>
    <w:rsid w:val="00BD4B2D"/>
    <w:rsid w:val="00BE0E8E"/>
    <w:rsid w:val="00C0360F"/>
    <w:rsid w:val="00CA7176"/>
    <w:rsid w:val="00CB3D48"/>
    <w:rsid w:val="00CB4665"/>
    <w:rsid w:val="00CC75B0"/>
    <w:rsid w:val="00CD2773"/>
    <w:rsid w:val="00CD31CC"/>
    <w:rsid w:val="00CE143B"/>
    <w:rsid w:val="00D0024A"/>
    <w:rsid w:val="00D0188F"/>
    <w:rsid w:val="00D27003"/>
    <w:rsid w:val="00DB4A9B"/>
    <w:rsid w:val="00DE0873"/>
    <w:rsid w:val="00E167C7"/>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3D33"/>
    <w:rsid w:val="00FD351A"/>
    <w:rsid w:val="00FE75D7"/>
    <w:rsid w:val="028259D7"/>
    <w:rsid w:val="04D71068"/>
    <w:rsid w:val="07083118"/>
    <w:rsid w:val="09E80372"/>
    <w:rsid w:val="0A3968C0"/>
    <w:rsid w:val="0E7B0798"/>
    <w:rsid w:val="0F222595"/>
    <w:rsid w:val="0F48684D"/>
    <w:rsid w:val="0F7A2242"/>
    <w:rsid w:val="16C73C1B"/>
    <w:rsid w:val="17D321BD"/>
    <w:rsid w:val="210506B6"/>
    <w:rsid w:val="280A600C"/>
    <w:rsid w:val="294C7105"/>
    <w:rsid w:val="313D02DE"/>
    <w:rsid w:val="351C11A3"/>
    <w:rsid w:val="355662B1"/>
    <w:rsid w:val="378077F5"/>
    <w:rsid w:val="3B5256BB"/>
    <w:rsid w:val="3F064112"/>
    <w:rsid w:val="4196361A"/>
    <w:rsid w:val="41C96698"/>
    <w:rsid w:val="43883F13"/>
    <w:rsid w:val="43F237BB"/>
    <w:rsid w:val="49577E3E"/>
    <w:rsid w:val="536913F8"/>
    <w:rsid w:val="57443A66"/>
    <w:rsid w:val="5A3D2771"/>
    <w:rsid w:val="5A9948B5"/>
    <w:rsid w:val="5EA46B2A"/>
    <w:rsid w:val="70EF2D27"/>
    <w:rsid w:val="75767FBF"/>
    <w:rsid w:val="781A3191"/>
    <w:rsid w:val="7DF47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9">
    <w:name w:val="page number"/>
    <w:semiHidden/>
    <w:unhideWhenUsed/>
    <w:qFormat/>
    <w:uiPriority w:val="99"/>
  </w:style>
  <w:style w:type="character" w:styleId="10">
    <w:name w:val="Hyperlink"/>
    <w:unhideWhenUsed/>
    <w:qFormat/>
    <w:uiPriority w:val="99"/>
    <w:rPr>
      <w:color w:val="0000FF"/>
      <w:u w:val="single"/>
    </w:rPr>
  </w:style>
  <w:style w:type="character" w:styleId="11">
    <w:name w:val="footnote reference"/>
    <w:semiHidden/>
    <w:unhideWhenUsed/>
    <w:qFormat/>
    <w:uiPriority w:val="99"/>
    <w:rPr>
      <w:vertAlign w:val="superscript"/>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3"/>
    <w:qFormat/>
    <w:uiPriority w:val="99"/>
    <w:rPr>
      <w:rFonts w:ascii="Times New Roman" w:hAnsi="Times New Roman" w:eastAsia="宋体" w:cs="Times New Roman"/>
      <w:sz w:val="18"/>
      <w:szCs w:val="18"/>
    </w:rPr>
  </w:style>
  <w:style w:type="character" w:customStyle="1" w:styleId="15">
    <w:name w:val="批注框文本 Char"/>
    <w:basedOn w:val="8"/>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8"/>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D7861-7408-4420-8E27-314BF34B466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766</Words>
  <Characters>4367</Characters>
  <Lines>36</Lines>
  <Paragraphs>10</Paragraphs>
  <TotalTime>3</TotalTime>
  <ScaleCrop>false</ScaleCrop>
  <LinksUpToDate>false</LinksUpToDate>
  <CharactersWithSpaces>5123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DELL</cp:lastModifiedBy>
  <cp:lastPrinted>2017-11-09T01:12:00Z</cp:lastPrinted>
  <dcterms:modified xsi:type="dcterms:W3CDTF">2023-08-01T10:13:18Z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